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7D" w:rsidRDefault="0062657D" w:rsidP="006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D3F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МКОУ «</w:t>
      </w:r>
      <w:proofErr w:type="spellStart"/>
      <w:r w:rsidRPr="00BD3F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Гельбахская</w:t>
      </w:r>
      <w:proofErr w:type="spellEnd"/>
      <w:r w:rsidRPr="00BD3F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СОШ»</w:t>
      </w:r>
    </w:p>
    <w:p w:rsidR="0062657D" w:rsidRDefault="0062657D" w:rsidP="006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2657D" w:rsidRPr="00BD3FDA" w:rsidRDefault="0062657D" w:rsidP="0062657D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2657D" w:rsidRPr="00BD3FDA" w:rsidRDefault="0062657D" w:rsidP="006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BD3FD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План самообразования</w:t>
      </w:r>
    </w:p>
    <w:p w:rsidR="0062657D" w:rsidRPr="00BD3FDA" w:rsidRDefault="0062657D" w:rsidP="006265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D3F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тему:</w:t>
      </w: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0F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6pt;height:210pt" fillcolor="#369" stroked="f">
            <v:shadow on="t" color="#b2b2b2" opacity="52429f" offset="3pt"/>
            <v:textpath style="font-family:&quot;Times New Roman&quot;;v-text-kern:t" trim="t" fitpath="t" string="&quot;Личностно-ориентированный подход&#10; через межпредметные связи и&#10; проектную деятельность&quot;&#10;&#10;"/>
          </v:shape>
        </w:pict>
      </w:r>
    </w:p>
    <w:p w:rsidR="0062657D" w:rsidRPr="00BD3FDA" w:rsidRDefault="0062657D" w:rsidP="006265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57D" w:rsidRPr="00BD3FDA" w:rsidRDefault="0062657D" w:rsidP="006265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57D" w:rsidRPr="00BD3FDA" w:rsidRDefault="0062657D" w:rsidP="006265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57D" w:rsidRPr="00BD3FDA" w:rsidRDefault="0062657D" w:rsidP="006265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57D" w:rsidRDefault="0062657D" w:rsidP="006265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57D" w:rsidRPr="00BD3FDA" w:rsidRDefault="0062657D" w:rsidP="0062657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Pr="00BD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биологии Гаджиева Б.А</w:t>
      </w:r>
    </w:p>
    <w:p w:rsidR="00297A6D" w:rsidRDefault="00297A6D"/>
    <w:p w:rsidR="0062657D" w:rsidRDefault="0062657D"/>
    <w:p w:rsidR="0062657D" w:rsidRDefault="0062657D"/>
    <w:p w:rsidR="0062657D" w:rsidRDefault="0062657D"/>
    <w:p w:rsidR="0062657D" w:rsidRDefault="0062657D"/>
    <w:p w:rsidR="0062657D" w:rsidRDefault="0062657D" w:rsidP="0062657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2657D" w:rsidRDefault="0062657D" w:rsidP="0062657D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9368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Умение учителя занять </w:t>
      </w:r>
    </w:p>
    <w:p w:rsidR="0062657D" w:rsidRDefault="0062657D" w:rsidP="0062657D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9368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во время урока</w:t>
      </w:r>
      <w:r w:rsidRPr="0099368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9368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всех учащихся </w:t>
      </w:r>
    </w:p>
    <w:p w:rsidR="0062657D" w:rsidRPr="00993683" w:rsidRDefault="0062657D" w:rsidP="0062657D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9368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есть критерий достоинства</w:t>
      </w:r>
      <w:r w:rsidRPr="0099368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9368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учителя.</w:t>
      </w:r>
    </w:p>
    <w:p w:rsidR="0062657D" w:rsidRDefault="0062657D" w:rsidP="0062657D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99368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К.Д.Ушинский.</w:t>
      </w:r>
    </w:p>
    <w:p w:rsidR="0062657D" w:rsidRPr="00993683" w:rsidRDefault="0062657D" w:rsidP="0062657D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62657D" w:rsidRPr="00993683" w:rsidRDefault="0062657D" w:rsidP="006265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9368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Целью российского образования в настоящее время выступает не сумма знаний, умений, навыков, а активный запас ключевых компетенций, обеспечивающих образование на современном уровне, самореализацию и успешную адаптацию.</w:t>
      </w:r>
    </w:p>
    <w:p w:rsidR="0062657D" w:rsidRPr="00692B81" w:rsidRDefault="0062657D" w:rsidP="0062657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68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«Общеобразовательная школа должна формировать целостную систему универсальных знаний, умений, навыков, а так же опыт самостоятельной деятельности и личной ответственности обучающихся, т. е. ключевые компетенции, определяющие современное качество образования». </w:t>
      </w:r>
      <w:r w:rsidRPr="00993683">
        <w:rPr>
          <w:rFonts w:ascii="Times New Roman" w:hAnsi="Times New Roman" w:cs="Times New Roman"/>
          <w:bCs/>
          <w:sz w:val="28"/>
          <w:szCs w:val="28"/>
          <w:u w:val="single"/>
        </w:rPr>
        <w:br/>
      </w:r>
    </w:p>
    <w:p w:rsidR="0062657D" w:rsidRPr="002C370B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993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процессе развития ребенка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условно выделить две генеральные линии — </w:t>
      </w:r>
      <w:r w:rsidRPr="00993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социализацию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993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индивидуализа</w:t>
      </w:r>
      <w:r w:rsidRPr="00993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softHyphen/>
        <w:t>цию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Первая из них, социализация, связана с усвоением растущим человеком социально одобряемых идеалов, норм и способов поведения и деятельности. Это способствует фор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мированию у детей представлений об обществе, о его куль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туре и укладе, развитию у них социально значимых ка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честв, становлению их адаптационных возможностей и ме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ханизмов жизни среди людей. Вторая линия, названная ин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дивидуализацией</w:t>
      </w:r>
      <w:r w:rsidRPr="002C3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связана со становлением и проявлением индивидуальности человека, его неповторимого внешнего облика и внутреннего мира, уникального стиля его жизне</w:t>
      </w: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деятельности. Это и позволяет ему стать, быть и оставаться самим собой. Индивидуализация способствует развитию ярко </w:t>
      </w:r>
      <w:proofErr w:type="gramStart"/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индивидуального</w:t>
      </w:r>
      <w:proofErr w:type="gramEnd"/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человеке. В настоящее время итогом благополучной социализации является личность, в которой ярко проявляются специфические, присущие только ей качества, характеризующие ее как индивидуальность. Отсюда возрастание общественного интереса к проблемам личности, ее индивидуальности, способам воздействия на нее. Образование невозможно без обращения к личности.</w:t>
      </w:r>
    </w:p>
    <w:p w:rsidR="0062657D" w:rsidRPr="002C370B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это выводит на необходимость реализации в практике личностно  ориентированного обучения. Это образно можно представить формулой:</w:t>
      </w:r>
    </w:p>
    <w:p w:rsidR="0062657D" w:rsidRPr="00993683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99368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«Индивидом рождаются. Личностью становятся. Индивидуальность отстаивают».</w:t>
      </w: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 «Личностно-ориентированное обучение — это такое обучение, где во главу угла ставится личность ребенка, ее самобытность, </w:t>
      </w:r>
      <w:proofErr w:type="spellStart"/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самоценность</w:t>
      </w:r>
      <w:proofErr w:type="spellEnd"/>
      <w:r w:rsidRPr="002C37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субъектный опыт каждого сначала раскрывается, а затем согласовывается с содержанием образования».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чём же сущность личностно-ориентированного подхода?</w:t>
      </w:r>
    </w:p>
    <w:p w:rsidR="0062657D" w:rsidRDefault="0062657D" w:rsidP="006265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701A06">
        <w:rPr>
          <w:rFonts w:ascii="Times New Roman" w:hAnsi="Times New Roman" w:cs="Times New Roman"/>
          <w:sz w:val="28"/>
          <w:szCs w:val="28"/>
        </w:rPr>
        <w:t>В современных условиях активизируются развитие педагогики в самых разных направлениях: гуманистическая, социальная, диагностическая, коррекционная, экспериментальная, коллективного творческого воспитания, педагогика сотрудничества.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>Личностно-ориентированное образование в школе направлено на развитие и саморазвитие ученика, становление его как личности с учетом индивидуальных особенностей, интересов и способностей. Личностно-ориентированное обучение предоставляет возможность каждому школьнику реализовывать себя в познании, в учебной деятельности с опорой на его склонности и интересы, возможности и способности, ценностные ориентации и субъективный опыт. Личностно-ориентированное воспитание – это развитие и саморазвитие личностных качеств на основе общечеловеческих ценностей.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– это важнейший принцип психологической науки, предусматривающий учет своеобразия индивидуальности личности ребенка. Именно этот подход определяет положение ребенка в воспитательном процессе, означает признание его активным субъектом этого процесса, а, следовательно, означает становление </w:t>
      </w:r>
      <w:proofErr w:type="spellStart"/>
      <w:proofErr w:type="gramStart"/>
      <w:r w:rsidRPr="00701A06">
        <w:rPr>
          <w:rFonts w:ascii="Times New Roman" w:hAnsi="Times New Roman" w:cs="Times New Roman"/>
          <w:sz w:val="28"/>
          <w:szCs w:val="28"/>
        </w:rPr>
        <w:t>субъект-объектных</w:t>
      </w:r>
      <w:proofErr w:type="spellEnd"/>
      <w:proofErr w:type="gramEnd"/>
      <w:r w:rsidRPr="00701A06">
        <w:rPr>
          <w:rFonts w:ascii="Times New Roman" w:hAnsi="Times New Roman" w:cs="Times New Roman"/>
          <w:sz w:val="28"/>
          <w:szCs w:val="28"/>
        </w:rPr>
        <w:t xml:space="preserve"> отношений. Личностный подход – это индивидуальный подход к человеку как к личности с пониманием ее как системы, определяющей все другие психические 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 xml:space="preserve">Применительно к содержанию обучения </w:t>
      </w:r>
      <w:proofErr w:type="spellStart"/>
      <w:r w:rsidRPr="00701A06">
        <w:rPr>
          <w:rFonts w:ascii="Times New Roman" w:hAnsi="Times New Roman" w:cs="Times New Roman"/>
          <w:sz w:val="28"/>
          <w:szCs w:val="28"/>
        </w:rPr>
        <w:t>личностно-ориеитированный</w:t>
      </w:r>
      <w:proofErr w:type="spellEnd"/>
      <w:r w:rsidRPr="00701A06">
        <w:rPr>
          <w:rFonts w:ascii="Times New Roman" w:hAnsi="Times New Roman" w:cs="Times New Roman"/>
          <w:sz w:val="28"/>
          <w:szCs w:val="28"/>
        </w:rPr>
        <w:t xml:space="preserve"> подход, по мнению </w:t>
      </w:r>
      <w:r>
        <w:rPr>
          <w:rFonts w:ascii="Times New Roman" w:hAnsi="Times New Roman" w:cs="Times New Roman"/>
          <w:sz w:val="28"/>
          <w:szCs w:val="28"/>
        </w:rPr>
        <w:t xml:space="preserve">профессора </w:t>
      </w:r>
      <w:proofErr w:type="spellStart"/>
      <w:r w:rsidRPr="00701A06">
        <w:rPr>
          <w:rFonts w:ascii="Times New Roman" w:hAnsi="Times New Roman" w:cs="Times New Roman"/>
          <w:sz w:val="28"/>
          <w:szCs w:val="28"/>
        </w:rPr>
        <w:t>Арияна</w:t>
      </w:r>
      <w:proofErr w:type="spellEnd"/>
      <w:r w:rsidRPr="00701A06">
        <w:rPr>
          <w:rFonts w:ascii="Times New Roman" w:hAnsi="Times New Roman" w:cs="Times New Roman"/>
          <w:sz w:val="28"/>
          <w:szCs w:val="28"/>
        </w:rPr>
        <w:t xml:space="preserve"> М.А., проявляется в следующих основных направлениях:</w:t>
      </w:r>
    </w:p>
    <w:p w:rsidR="0062657D" w:rsidRDefault="0062657D" w:rsidP="006265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A06">
        <w:rPr>
          <w:rFonts w:ascii="Times New Roman" w:hAnsi="Times New Roman" w:cs="Times New Roman"/>
          <w:sz w:val="28"/>
          <w:szCs w:val="28"/>
        </w:rPr>
        <w:t xml:space="preserve"> </w:t>
      </w:r>
      <w:r w:rsidRPr="000C6D14">
        <w:rPr>
          <w:rFonts w:ascii="Times New Roman" w:hAnsi="Times New Roman" w:cs="Times New Roman"/>
          <w:sz w:val="28"/>
          <w:szCs w:val="28"/>
          <w:u w:val="single"/>
        </w:rPr>
        <w:t xml:space="preserve">1) Компонентный состав содержания обучения;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1A06">
        <w:rPr>
          <w:rFonts w:ascii="Times New Roman" w:hAnsi="Times New Roman" w:cs="Times New Roman"/>
          <w:sz w:val="28"/>
          <w:szCs w:val="28"/>
        </w:rPr>
        <w:t xml:space="preserve">) </w:t>
      </w:r>
      <w:r w:rsidRPr="000C6D14">
        <w:rPr>
          <w:rFonts w:ascii="Times New Roman" w:hAnsi="Times New Roman" w:cs="Times New Roman"/>
          <w:sz w:val="28"/>
          <w:szCs w:val="28"/>
          <w:u w:val="single"/>
        </w:rPr>
        <w:t>Отбор материала</w:t>
      </w:r>
      <w:r w:rsidRPr="00701A06">
        <w:rPr>
          <w:rFonts w:ascii="Times New Roman" w:hAnsi="Times New Roman" w:cs="Times New Roman"/>
          <w:sz w:val="28"/>
          <w:szCs w:val="28"/>
        </w:rPr>
        <w:t xml:space="preserve"> предполагает некоторую избыточность и выделение двух 2 уровней: уровня предъявления и уровня спроса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01A06">
        <w:rPr>
          <w:rFonts w:ascii="Times New Roman" w:hAnsi="Times New Roman" w:cs="Times New Roman"/>
          <w:sz w:val="28"/>
          <w:szCs w:val="28"/>
        </w:rPr>
        <w:t xml:space="preserve">Это позволяет осуществлять </w:t>
      </w:r>
      <w:proofErr w:type="spellStart"/>
      <w:r w:rsidRPr="00701A06">
        <w:rPr>
          <w:rFonts w:ascii="Times New Roman" w:hAnsi="Times New Roman" w:cs="Times New Roman"/>
          <w:sz w:val="28"/>
          <w:szCs w:val="28"/>
        </w:rPr>
        <w:t>дифферинциованный</w:t>
      </w:r>
      <w:proofErr w:type="spellEnd"/>
      <w:r w:rsidRPr="00701A06">
        <w:rPr>
          <w:rFonts w:ascii="Times New Roman" w:hAnsi="Times New Roman" w:cs="Times New Roman"/>
          <w:sz w:val="28"/>
          <w:szCs w:val="28"/>
        </w:rPr>
        <w:t xml:space="preserve"> и даже индивидуальный подход к ученикам, ставит их в ситуацию выбора, побуждает к большей самостоятельности и активности.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A06">
        <w:rPr>
          <w:rFonts w:ascii="Times New Roman" w:hAnsi="Times New Roman" w:cs="Times New Roman"/>
          <w:sz w:val="28"/>
          <w:szCs w:val="28"/>
        </w:rPr>
        <w:t>) Последнее достигается и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D14">
        <w:rPr>
          <w:rFonts w:ascii="Times New Roman" w:hAnsi="Times New Roman" w:cs="Times New Roman"/>
          <w:sz w:val="28"/>
          <w:szCs w:val="28"/>
          <w:u w:val="single"/>
        </w:rPr>
        <w:t>иной подаче материала;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01A06">
        <w:rPr>
          <w:rFonts w:ascii="Times New Roman" w:hAnsi="Times New Roman" w:cs="Times New Roman"/>
          <w:sz w:val="28"/>
          <w:szCs w:val="28"/>
        </w:rPr>
        <w:t xml:space="preserve">) При </w:t>
      </w:r>
      <w:r w:rsidRPr="000C6D14">
        <w:rPr>
          <w:rFonts w:ascii="Times New Roman" w:hAnsi="Times New Roman" w:cs="Times New Roman"/>
          <w:sz w:val="28"/>
          <w:szCs w:val="28"/>
          <w:u w:val="single"/>
        </w:rPr>
        <w:t>отборе содержания</w:t>
      </w:r>
      <w:r w:rsidRPr="00701A06">
        <w:rPr>
          <w:rFonts w:ascii="Times New Roman" w:hAnsi="Times New Roman" w:cs="Times New Roman"/>
          <w:sz w:val="28"/>
          <w:szCs w:val="28"/>
        </w:rPr>
        <w:t xml:space="preserve"> важно предусмотреть такие </w:t>
      </w:r>
      <w:r w:rsidRPr="00701A06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материалы, которые </w:t>
      </w:r>
      <w:proofErr w:type="spellStart"/>
      <w:r w:rsidRPr="00701A06">
        <w:rPr>
          <w:rFonts w:ascii="Times New Roman" w:hAnsi="Times New Roman" w:cs="Times New Roman"/>
          <w:sz w:val="28"/>
          <w:szCs w:val="28"/>
        </w:rPr>
        <w:t>аппелируют</w:t>
      </w:r>
      <w:proofErr w:type="spellEnd"/>
      <w:r w:rsidRPr="00701A06">
        <w:rPr>
          <w:rFonts w:ascii="Times New Roman" w:hAnsi="Times New Roman" w:cs="Times New Roman"/>
          <w:sz w:val="28"/>
          <w:szCs w:val="28"/>
        </w:rPr>
        <w:t xml:space="preserve"> к личному опыту учащихся, к их чувствам, эмоциям, побуждают к выражению собственного мнения, оценки, что стимулирует фор</w:t>
      </w:r>
      <w:r>
        <w:rPr>
          <w:rFonts w:ascii="Times New Roman" w:hAnsi="Times New Roman" w:cs="Times New Roman"/>
          <w:sz w:val="28"/>
          <w:szCs w:val="28"/>
        </w:rPr>
        <w:t>мирование ценностных ориентаций.</w:t>
      </w:r>
    </w:p>
    <w:p w:rsidR="0062657D" w:rsidRDefault="0062657D" w:rsidP="006265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>«необходимость поставить ученика в центр учебного процесса, сделать его активным субъектом деятельности, организовывать его взаимодействие с другими учащимися, придать учебному процессу реальную практическую направленность заставляет отдавать предпочте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ние таким технологиям обучения, как «обучение в сотрудничестве» и «метод проектов» (последний, как известно, может включать «обучение в сотрудни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честве»). Основная идея метода обучения в сотрудничестве - создать условия для активной совместной учебной деятельности учащихся в разных ситуациях для работы над совместным проектом. Это новый подход к предмету, где акцент делается на самостоятельном познавательном интересе. Можно отметить следующие положительные стороны этого вида работы: 1. Повышение общей мотивации учащихся. Проекты - личностно-ориентированный вид работы. При его подготовке учащиеся изучают интересные для себя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 xml:space="preserve">2. Повышение значимости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701A06">
        <w:rPr>
          <w:rFonts w:ascii="Times New Roman" w:hAnsi="Times New Roman" w:cs="Times New Roman"/>
          <w:sz w:val="28"/>
          <w:szCs w:val="28"/>
        </w:rPr>
        <w:t xml:space="preserve"> как средства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 xml:space="preserve">3. Образовательная и воспитательная ценность. Благодаря использованию </w:t>
      </w:r>
      <w:proofErr w:type="spellStart"/>
      <w:r w:rsidRPr="00701A0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701A06">
        <w:rPr>
          <w:rFonts w:ascii="Times New Roman" w:hAnsi="Times New Roman" w:cs="Times New Roman"/>
          <w:sz w:val="28"/>
          <w:szCs w:val="28"/>
        </w:rPr>
        <w:t xml:space="preserve"> связей (</w:t>
      </w:r>
      <w:proofErr w:type="gramStart"/>
      <w:r w:rsidRPr="00701A0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701A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701A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окружающий мир и т.д.</w:t>
      </w:r>
      <w:r w:rsidRPr="00701A06">
        <w:rPr>
          <w:rFonts w:ascii="Times New Roman" w:hAnsi="Times New Roman" w:cs="Times New Roman"/>
          <w:sz w:val="28"/>
          <w:szCs w:val="28"/>
        </w:rPr>
        <w:t xml:space="preserve">), у учащихся развивается познавательная активность, воображение. Обучение в сотрудничестве предполагает учет психолого-педагогических задач, возраста учащихся, их культурно-языкового пространства. Школьники учатся вести исследовательскую работу, а выполнение проектов дает возможность на практике использовать знания и методы из других областей науки. При оценке проектных работ следует обращать внимание не только на правильное использование языка. Важна также степень их творчества и оригинальности при выполнении проекта. Основной прием в методике сотрудничества - работа в группах, но здесь нужно учитывать следующие психолого-методические нюансы: 1. группы формируются с учетом психологической совместимости, с учетом того, что в ней будут сильные, средние и слабые ученики; 2. если нет слаженности в работе - состав группы меняется; 3. учитель распределяет "роли" в группе; 4. группа получает одно общее для всех </w:t>
      </w:r>
      <w:r w:rsidRPr="00701A06">
        <w:rPr>
          <w:rFonts w:ascii="Times New Roman" w:hAnsi="Times New Roman" w:cs="Times New Roman"/>
          <w:sz w:val="28"/>
          <w:szCs w:val="28"/>
        </w:rPr>
        <w:lastRenderedPageBreak/>
        <w:t>задание, но для реализации проекта каждый должен выполнить свою часть работы; 5. оценивается работа не каждого ученика, а группы в целом; 6. иногда две группы объединяются и предъявляют совместный результат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1A06">
        <w:rPr>
          <w:rFonts w:ascii="Times New Roman" w:hAnsi="Times New Roman" w:cs="Times New Roman"/>
          <w:sz w:val="28"/>
          <w:szCs w:val="28"/>
        </w:rPr>
        <w:t>Проектные задания дают понять ученику, что успех или неуспех всей группы зависит от каждого. Практически, это обучение в процессе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A06">
        <w:rPr>
          <w:rFonts w:ascii="Times New Roman" w:hAnsi="Times New Roman" w:cs="Times New Roman"/>
          <w:sz w:val="28"/>
          <w:szCs w:val="28"/>
        </w:rPr>
        <w:t xml:space="preserve">Описывая, интерпретируя, рассуждая и играя, учащиеся овладевают необходимыми в общении речемыслительными умениями и навыками. Задача педагога - управлять этим процессом, постепенно усложнять речемыслительные коммуникативные задачи. Сотрудничество, сотворчество ученика и учителя, создание творческого микроклимата - обязательная основа личностно-ориентированной технологии обучения. </w:t>
      </w:r>
      <w:proofErr w:type="gramStart"/>
      <w:r w:rsidRPr="00701A06">
        <w:rPr>
          <w:rFonts w:ascii="Times New Roman" w:hAnsi="Times New Roman" w:cs="Times New Roman"/>
          <w:sz w:val="28"/>
          <w:szCs w:val="28"/>
        </w:rPr>
        <w:t>Следует иметь в виду, что педагогическое воздействие всегда однонаправлено (</w:t>
      </w:r>
      <w:r w:rsidRPr="000C6D14">
        <w:rPr>
          <w:rFonts w:ascii="Times New Roman" w:hAnsi="Times New Roman" w:cs="Times New Roman"/>
          <w:sz w:val="28"/>
          <w:szCs w:val="28"/>
          <w:u w:val="single"/>
        </w:rPr>
        <w:t>учитель - ученик</w:t>
      </w:r>
      <w:r w:rsidRPr="00701A06">
        <w:rPr>
          <w:rFonts w:ascii="Times New Roman" w:hAnsi="Times New Roman" w:cs="Times New Roman"/>
          <w:sz w:val="28"/>
          <w:szCs w:val="28"/>
        </w:rPr>
        <w:t>), а сотрудничеству, взаимодействию присуща разнонаправленность (</w:t>
      </w:r>
      <w:r w:rsidRPr="000C6D14">
        <w:rPr>
          <w:rFonts w:ascii="Times New Roman" w:hAnsi="Times New Roman" w:cs="Times New Roman"/>
          <w:sz w:val="28"/>
          <w:szCs w:val="28"/>
          <w:u w:val="single"/>
        </w:rPr>
        <w:t>ученик - учитель, учитель - ученик, ученик - ученик</w:t>
      </w:r>
      <w:r w:rsidRPr="00701A0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701A06">
        <w:rPr>
          <w:rFonts w:ascii="Times New Roman" w:hAnsi="Times New Roman" w:cs="Times New Roman"/>
          <w:sz w:val="28"/>
          <w:szCs w:val="28"/>
        </w:rPr>
        <w:t xml:space="preserve"> Данная технология заслуживает внимания, т.к. она удовлетворяет потребности детей в общении друг с другом и с учителем. Такой процесс обучения выявляет три </w:t>
      </w:r>
      <w:r w:rsidRPr="00C063D4">
        <w:rPr>
          <w:rFonts w:ascii="Times New Roman" w:hAnsi="Times New Roman" w:cs="Times New Roman"/>
          <w:sz w:val="28"/>
          <w:szCs w:val="28"/>
          <w:u w:val="single"/>
        </w:rPr>
        <w:t>стороны общения</w:t>
      </w:r>
      <w:r w:rsidRPr="00701A06">
        <w:rPr>
          <w:rFonts w:ascii="Times New Roman" w:hAnsi="Times New Roman" w:cs="Times New Roman"/>
          <w:sz w:val="28"/>
          <w:szCs w:val="28"/>
        </w:rPr>
        <w:t xml:space="preserve">: 1) </w:t>
      </w:r>
      <w:r w:rsidRPr="00C063D4">
        <w:rPr>
          <w:rFonts w:ascii="Times New Roman" w:hAnsi="Times New Roman" w:cs="Times New Roman"/>
          <w:sz w:val="28"/>
          <w:szCs w:val="28"/>
          <w:u w:val="single"/>
        </w:rPr>
        <w:t>информативную</w:t>
      </w:r>
      <w:r w:rsidRPr="00701A06">
        <w:rPr>
          <w:rFonts w:ascii="Times New Roman" w:hAnsi="Times New Roman" w:cs="Times New Roman"/>
          <w:sz w:val="28"/>
          <w:szCs w:val="28"/>
        </w:rPr>
        <w:t xml:space="preserve"> (передача и обмен информации); 2) </w:t>
      </w:r>
      <w:r w:rsidRPr="00C063D4">
        <w:rPr>
          <w:rFonts w:ascii="Times New Roman" w:hAnsi="Times New Roman" w:cs="Times New Roman"/>
          <w:sz w:val="28"/>
          <w:szCs w:val="28"/>
          <w:u w:val="single"/>
        </w:rPr>
        <w:t>интерактивную</w:t>
      </w:r>
      <w:r w:rsidRPr="00701A06">
        <w:rPr>
          <w:rFonts w:ascii="Times New Roman" w:hAnsi="Times New Roman" w:cs="Times New Roman"/>
          <w:sz w:val="28"/>
          <w:szCs w:val="28"/>
        </w:rPr>
        <w:t xml:space="preserve"> (организация взаимодействия в совместной деятельности); 3) </w:t>
      </w:r>
      <w:proofErr w:type="spellStart"/>
      <w:r w:rsidRPr="00C063D4">
        <w:rPr>
          <w:rFonts w:ascii="Times New Roman" w:hAnsi="Times New Roman" w:cs="Times New Roman"/>
          <w:sz w:val="28"/>
          <w:szCs w:val="28"/>
          <w:u w:val="single"/>
        </w:rPr>
        <w:t>перцептивную</w:t>
      </w:r>
      <w:proofErr w:type="spellEnd"/>
      <w:r w:rsidRPr="00701A06">
        <w:rPr>
          <w:rFonts w:ascii="Times New Roman" w:hAnsi="Times New Roman" w:cs="Times New Roman"/>
          <w:sz w:val="28"/>
          <w:szCs w:val="28"/>
        </w:rPr>
        <w:t xml:space="preserve"> (восприятие и понимание человека человеком). Как было уже сказано выше, обучение в сотрудничестве тесно связано с проектной технологией, которая способствует формированию творческой личности, выступает как один из способов повышения эффективности формирования иноязычной коммуникативной компетенции, развития познавательных интересов учащихся, интеллектуальных умений критического и творческого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7D" w:rsidRDefault="0062657D" w:rsidP="006265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A06">
        <w:rPr>
          <w:rFonts w:ascii="Times New Roman" w:hAnsi="Times New Roman" w:cs="Times New Roman"/>
          <w:sz w:val="28"/>
          <w:szCs w:val="28"/>
        </w:rPr>
        <w:t>Метод проектов активизирует все стороны личности школьника; его ин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теллектуальную сферу, его типологичес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кие особенности и черты характера: це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леустремленность, настойчивость, лю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бознательность, трудолюбие, толерант</w:t>
      </w:r>
      <w:r w:rsidRPr="00701A06">
        <w:rPr>
          <w:rFonts w:ascii="Times New Roman" w:hAnsi="Times New Roman" w:cs="Times New Roman"/>
          <w:sz w:val="28"/>
          <w:szCs w:val="28"/>
        </w:rPr>
        <w:softHyphen/>
        <w:t>ность, его коммуникативные умения, чувства и эмоции. Таких впечатляющих результатов в области применения проектной методики, вероятно, сложно было бы ожидать без интегрированных курсов, так как ученики стараются черпать свои знания из других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57D" w:rsidRDefault="0062657D" w:rsidP="006265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D7618">
        <w:rPr>
          <w:rFonts w:ascii="Times New Roman" w:hAnsi="Times New Roman" w:cs="Times New Roman"/>
          <w:bCs/>
          <w:sz w:val="28"/>
          <w:szCs w:val="28"/>
        </w:rPr>
        <w:t xml:space="preserve">Любая педагогическая технология, по мнению В.В.Серикова, может стать личностно-ориентированной, если она </w:t>
      </w:r>
      <w:r w:rsidRPr="00CD7618">
        <w:rPr>
          <w:rFonts w:ascii="Times New Roman" w:hAnsi="Times New Roman" w:cs="Times New Roman"/>
          <w:sz w:val="28"/>
          <w:szCs w:val="28"/>
        </w:rPr>
        <w:t xml:space="preserve"> </w:t>
      </w:r>
      <w:r w:rsidRPr="00CD7618">
        <w:rPr>
          <w:rFonts w:ascii="Times New Roman" w:hAnsi="Times New Roman" w:cs="Times New Roman"/>
          <w:bCs/>
          <w:sz w:val="28"/>
          <w:szCs w:val="28"/>
        </w:rPr>
        <w:t>содержит базовый комплекс,</w:t>
      </w:r>
      <w:r w:rsidRPr="00CD7618">
        <w:rPr>
          <w:rFonts w:ascii="Times New Roman" w:hAnsi="Times New Roman" w:cs="Times New Roman"/>
          <w:sz w:val="28"/>
          <w:szCs w:val="28"/>
        </w:rPr>
        <w:t xml:space="preserve"> </w:t>
      </w:r>
      <w:r w:rsidRPr="00CD7618">
        <w:rPr>
          <w:rFonts w:ascii="Times New Roman" w:hAnsi="Times New Roman" w:cs="Times New Roman"/>
          <w:bCs/>
          <w:sz w:val="28"/>
          <w:szCs w:val="28"/>
        </w:rPr>
        <w:t xml:space="preserve">создающий ценностно-смысловое поле </w:t>
      </w:r>
      <w:proofErr w:type="spellStart"/>
      <w:r w:rsidRPr="00CD7618">
        <w:rPr>
          <w:rFonts w:ascii="Times New Roman" w:hAnsi="Times New Roman" w:cs="Times New Roman"/>
          <w:bCs/>
          <w:sz w:val="28"/>
          <w:szCs w:val="28"/>
        </w:rPr>
        <w:t>межсубъектного</w:t>
      </w:r>
      <w:proofErr w:type="spellEnd"/>
      <w:r w:rsidRPr="00CD7618">
        <w:rPr>
          <w:rFonts w:ascii="Times New Roman" w:hAnsi="Times New Roman" w:cs="Times New Roman"/>
          <w:bCs/>
          <w:sz w:val="28"/>
          <w:szCs w:val="28"/>
        </w:rPr>
        <w:t xml:space="preserve"> общения как органической составной части учебного процесса. </w:t>
      </w:r>
    </w:p>
    <w:p w:rsidR="0062657D" w:rsidRDefault="0062657D" w:rsidP="006265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Как сказал Владимир Владимирович Путин: «</w:t>
      </w:r>
      <w:r w:rsidRPr="00C063D4">
        <w:rPr>
          <w:rFonts w:ascii="Times New Roman" w:hAnsi="Times New Roman" w:cs="Times New Roman"/>
          <w:bCs/>
          <w:sz w:val="28"/>
          <w:szCs w:val="28"/>
          <w:u w:val="single"/>
        </w:rPr>
        <w:t>Человек не ценится теперь только как носитель знаний, а важно, чтобы он был деятель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r w:rsidRPr="00CD7618">
        <w:rPr>
          <w:b/>
          <w:bCs/>
          <w:sz w:val="28"/>
          <w:szCs w:val="28"/>
        </w:rPr>
        <w:t xml:space="preserve"> </w:t>
      </w:r>
    </w:p>
    <w:p w:rsidR="009C0500" w:rsidRPr="00ED138A" w:rsidRDefault="009C0500" w:rsidP="009C0500">
      <w:pPr>
        <w:pStyle w:val="a7"/>
        <w:ind w:firstLine="426"/>
        <w:rPr>
          <w:rFonts w:ascii="Times New Roman" w:hAnsi="Times New Roman" w:cs="Times New Roman"/>
          <w:sz w:val="28"/>
          <w:szCs w:val="28"/>
        </w:rPr>
      </w:pPr>
      <w:r w:rsidRPr="00ED138A">
        <w:rPr>
          <w:rFonts w:ascii="Times New Roman" w:hAnsi="Times New Roman" w:cs="Times New Roman"/>
          <w:sz w:val="28"/>
          <w:szCs w:val="28"/>
        </w:rPr>
        <w:t>Под самообразованием следует понимать специально организованную, самодеятельную, систематическую познавательную деятельность, направленную на достижение определенных личностно и общественно значимых образовательных целей: удовлетворение познавательных интересов, общекультурных и профессиональных запросов и повышение квалификации.</w:t>
      </w:r>
    </w:p>
    <w:p w:rsidR="009C0500" w:rsidRPr="00ED138A" w:rsidRDefault="009C0500" w:rsidP="009C050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D138A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ED138A">
        <w:rPr>
          <w:rFonts w:ascii="Times New Roman" w:hAnsi="Times New Roman" w:cs="Times New Roman"/>
          <w:sz w:val="28"/>
          <w:szCs w:val="28"/>
        </w:rPr>
        <w:t>Необходимость самообразования диктуется, с одной стороны, самой спецификой учительской деятельности, ее социальной ролью, с другой стороны, реалиями и тенденциями непрерывного образования, что связано с постоянно изменяющимися условиями педагогического труда, потребностями общества, эволюцией науки и практики, все возрастающими требованиями к человеку, его способности быстро и адекватно реагировать на смену общественных процессов и ситуаций, готовности перестраивать свою деятельность, умело решать новые, более</w:t>
      </w:r>
      <w:proofErr w:type="gramEnd"/>
      <w:r w:rsidRPr="00ED138A">
        <w:rPr>
          <w:rFonts w:ascii="Times New Roman" w:hAnsi="Times New Roman" w:cs="Times New Roman"/>
          <w:sz w:val="28"/>
          <w:szCs w:val="28"/>
        </w:rPr>
        <w:t xml:space="preserve"> сложные задачи. Познавательной активности, растущей потребности педагога в самореализации</w:t>
      </w:r>
    </w:p>
    <w:p w:rsidR="009C0500" w:rsidRPr="00ED138A" w:rsidRDefault="009C0500" w:rsidP="009C0500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38A">
        <w:rPr>
          <w:rFonts w:ascii="Times New Roman" w:hAnsi="Times New Roman" w:cs="Times New Roman"/>
          <w:sz w:val="28"/>
          <w:szCs w:val="28"/>
        </w:rPr>
        <w:t xml:space="preserve">   Смысл самообразования выражается в удовлетворении познавательной активности, растущей потребности педагога в самореализации путем непрерывного образования.</w:t>
      </w:r>
    </w:p>
    <w:p w:rsidR="009C0500" w:rsidRPr="00ED138A" w:rsidRDefault="009C0500" w:rsidP="009C0500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38A">
        <w:rPr>
          <w:rFonts w:ascii="Times New Roman" w:hAnsi="Times New Roman" w:cs="Times New Roman"/>
          <w:sz w:val="28"/>
          <w:szCs w:val="28"/>
        </w:rPr>
        <w:t xml:space="preserve">  Суть самообразования заключается в овладении техникой и культурой умственного труда, умении преодолевать проблемы, самостоятельно работать над собственным совершенствованием, в том числе профессиональным.</w:t>
      </w:r>
    </w:p>
    <w:p w:rsidR="009C0500" w:rsidRPr="00ED138A" w:rsidRDefault="009C0500" w:rsidP="009C0500">
      <w:pPr>
        <w:pStyle w:val="a7"/>
        <w:rPr>
          <w:rFonts w:ascii="Times New Roman" w:hAnsi="Times New Roman" w:cs="Times New Roman"/>
          <w:sz w:val="28"/>
          <w:szCs w:val="28"/>
        </w:rPr>
      </w:pPr>
      <w:r w:rsidRPr="00ED138A">
        <w:rPr>
          <w:rFonts w:ascii="Times New Roman" w:hAnsi="Times New Roman" w:cs="Times New Roman"/>
          <w:sz w:val="28"/>
          <w:szCs w:val="28"/>
        </w:rPr>
        <w:t xml:space="preserve">  Основными принципами самообразования являются непрерывность, целенаправленность, </w:t>
      </w:r>
      <w:proofErr w:type="spellStart"/>
      <w:r w:rsidRPr="00ED138A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ED138A">
        <w:rPr>
          <w:rFonts w:ascii="Times New Roman" w:hAnsi="Times New Roman" w:cs="Times New Roman"/>
          <w:sz w:val="28"/>
          <w:szCs w:val="28"/>
        </w:rPr>
        <w:t xml:space="preserve">, единство общей и профессиональной культуры, взаимосвязь и преемственность, доступность, опережающий характер, перманентность перехода от низкой ступени </w:t>
      </w:r>
      <w:proofErr w:type="gramStart"/>
      <w:r w:rsidRPr="00ED138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138A">
        <w:rPr>
          <w:rFonts w:ascii="Times New Roman" w:hAnsi="Times New Roman" w:cs="Times New Roman"/>
          <w:sz w:val="28"/>
          <w:szCs w:val="28"/>
        </w:rPr>
        <w:t xml:space="preserve"> высшей, вариативность и др.</w:t>
      </w:r>
    </w:p>
    <w:p w:rsidR="009C0500" w:rsidRPr="00ED138A" w:rsidRDefault="009C0500" w:rsidP="009C0500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:rsidR="009C0500" w:rsidRPr="00ED138A" w:rsidRDefault="009C0500" w:rsidP="009C0500">
      <w:pPr>
        <w:pStyle w:val="a7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500" w:rsidRPr="00ED138A" w:rsidRDefault="009C0500" w:rsidP="009C0500">
      <w:pPr>
        <w:pStyle w:val="a7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500" w:rsidRDefault="009C0500" w:rsidP="009C0500">
      <w:pPr>
        <w:pStyle w:val="a9"/>
        <w:rPr>
          <w:b/>
          <w:sz w:val="28"/>
          <w:szCs w:val="28"/>
        </w:rPr>
      </w:pPr>
    </w:p>
    <w:p w:rsidR="009C0500" w:rsidRDefault="009C0500" w:rsidP="009C0500">
      <w:pPr>
        <w:pStyle w:val="a9"/>
        <w:rPr>
          <w:b/>
          <w:sz w:val="28"/>
          <w:szCs w:val="28"/>
        </w:rPr>
      </w:pPr>
    </w:p>
    <w:p w:rsidR="009C0500" w:rsidRDefault="009C0500" w:rsidP="009C0500">
      <w:pPr>
        <w:pStyle w:val="a9"/>
        <w:rPr>
          <w:b/>
          <w:sz w:val="28"/>
          <w:szCs w:val="28"/>
        </w:rPr>
      </w:pPr>
    </w:p>
    <w:p w:rsidR="009C0500" w:rsidRPr="00ED138A" w:rsidRDefault="009C0500" w:rsidP="009C0500">
      <w:pPr>
        <w:pStyle w:val="a9"/>
        <w:rPr>
          <w:sz w:val="28"/>
          <w:szCs w:val="28"/>
        </w:rPr>
      </w:pPr>
    </w:p>
    <w:p w:rsidR="009C0500" w:rsidRPr="00ED138A" w:rsidRDefault="009C0500" w:rsidP="009C0500">
      <w:pPr>
        <w:spacing w:before="100" w:beforeAutospacing="1" w:after="100" w:afterAutospacing="1" w:line="240" w:lineRule="atLeast"/>
        <w:jc w:val="both"/>
        <w:rPr>
          <w:color w:val="000000"/>
          <w:sz w:val="28"/>
          <w:szCs w:val="28"/>
        </w:rPr>
      </w:pPr>
      <w:r w:rsidRPr="00ED138A">
        <w:rPr>
          <w:b/>
          <w:bCs/>
          <w:color w:val="000000"/>
          <w:sz w:val="28"/>
          <w:szCs w:val="28"/>
        </w:rPr>
        <w:lastRenderedPageBreak/>
        <w:t>1. Целевые установки педагога:</w:t>
      </w:r>
    </w:p>
    <w:p w:rsidR="009C0500" w:rsidRPr="00ED138A" w:rsidRDefault="009C0500" w:rsidP="009C0500">
      <w:pPr>
        <w:pStyle w:val="a8"/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уровня.</w:t>
      </w:r>
    </w:p>
    <w:p w:rsidR="009C0500" w:rsidRPr="00ED138A" w:rsidRDefault="009C0500" w:rsidP="009C0500">
      <w:pPr>
        <w:pStyle w:val="a8"/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активной подготовки к ОГЭ.</w:t>
      </w:r>
    </w:p>
    <w:p w:rsidR="009C0500" w:rsidRPr="00ED138A" w:rsidRDefault="009C0500" w:rsidP="009C0500">
      <w:pPr>
        <w:spacing w:before="100" w:beforeAutospacing="1" w:after="100" w:afterAutospacing="1" w:line="240" w:lineRule="atLeast"/>
        <w:jc w:val="both"/>
        <w:rPr>
          <w:color w:val="000000"/>
          <w:sz w:val="28"/>
          <w:szCs w:val="28"/>
        </w:rPr>
      </w:pPr>
      <w:r w:rsidRPr="00ED138A">
        <w:rPr>
          <w:b/>
          <w:bCs/>
          <w:color w:val="000000"/>
          <w:sz w:val="28"/>
          <w:szCs w:val="28"/>
        </w:rPr>
        <w:t>2. Задачи</w:t>
      </w:r>
    </w:p>
    <w:p w:rsidR="009C0500" w:rsidRPr="00ED138A" w:rsidRDefault="009C0500" w:rsidP="009C0500">
      <w:pPr>
        <w:pStyle w:val="a8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выполнять требования основных нормативных документов по преподаванию предмета.</w:t>
      </w:r>
    </w:p>
    <w:p w:rsidR="009C0500" w:rsidRPr="00ED138A" w:rsidRDefault="009C0500" w:rsidP="009C0500">
      <w:pPr>
        <w:pStyle w:val="a8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обновление содержания учебных курсов своих предметов путем выделения системы теоретических понятий, формирования на их основе практических умений и навыков.</w:t>
      </w:r>
    </w:p>
    <w:p w:rsidR="009C0500" w:rsidRPr="00ED138A" w:rsidRDefault="009C0500" w:rsidP="009C0500">
      <w:pPr>
        <w:pStyle w:val="a8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внимание к вопросам дифференциации обучения, позволяющей обеспечить базовую подготовку.</w:t>
      </w:r>
    </w:p>
    <w:p w:rsidR="009C0500" w:rsidRPr="00ED138A" w:rsidRDefault="009C0500" w:rsidP="009C0500">
      <w:pPr>
        <w:pStyle w:val="a8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умственной и познавательной деятельности детей на основе личностно-деятельного подхода.</w:t>
      </w:r>
    </w:p>
    <w:p w:rsidR="009C0500" w:rsidRPr="00ED138A" w:rsidRDefault="009C0500" w:rsidP="009C0500">
      <w:pPr>
        <w:pStyle w:val="a8"/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систему оценки знаний, умений и навыков учащихся, не допускать формализма в оценке усвоения учащимися программного материала.</w:t>
      </w:r>
    </w:p>
    <w:p w:rsidR="009C0500" w:rsidRPr="00ED138A" w:rsidRDefault="009C0500" w:rsidP="009C0500">
      <w:pPr>
        <w:pStyle w:val="a9"/>
        <w:numPr>
          <w:ilvl w:val="0"/>
          <w:numId w:val="3"/>
        </w:numPr>
        <w:rPr>
          <w:sz w:val="28"/>
          <w:szCs w:val="28"/>
        </w:rPr>
      </w:pPr>
      <w:r w:rsidRPr="00ED138A">
        <w:rPr>
          <w:color w:val="000000"/>
          <w:sz w:val="28"/>
          <w:szCs w:val="28"/>
        </w:rPr>
        <w:t> </w:t>
      </w:r>
      <w:r w:rsidRPr="00ED138A">
        <w:rPr>
          <w:sz w:val="28"/>
          <w:szCs w:val="28"/>
        </w:rPr>
        <w:t>овладение учащимися знаниями о живой природе, общими методами её изучения, учебными умениями;</w:t>
      </w:r>
    </w:p>
    <w:p w:rsidR="009C0500" w:rsidRPr="00ED138A" w:rsidRDefault="009C0500" w:rsidP="009C0500">
      <w:pPr>
        <w:pStyle w:val="a9"/>
        <w:numPr>
          <w:ilvl w:val="0"/>
          <w:numId w:val="3"/>
        </w:numPr>
        <w:rPr>
          <w:sz w:val="28"/>
          <w:szCs w:val="28"/>
        </w:rPr>
      </w:pPr>
      <w:r w:rsidRPr="00ED138A">
        <w:rPr>
          <w:sz w:val="28"/>
          <w:szCs w:val="28"/>
        </w:rPr>
        <w:t>формирование на базе этих знаний и умений научной картины мира как компонента общечеловеческой культуры;</w:t>
      </w:r>
    </w:p>
    <w:p w:rsidR="009C0500" w:rsidRPr="00ED138A" w:rsidRDefault="009C0500" w:rsidP="009C0500">
      <w:pPr>
        <w:pStyle w:val="a9"/>
        <w:numPr>
          <w:ilvl w:val="0"/>
          <w:numId w:val="3"/>
        </w:numPr>
        <w:rPr>
          <w:sz w:val="28"/>
          <w:szCs w:val="28"/>
        </w:rPr>
      </w:pPr>
      <w:r w:rsidRPr="00ED138A">
        <w:rPr>
          <w:sz w:val="28"/>
          <w:szCs w:val="28"/>
        </w:rPr>
        <w:t>гигиеническое воспитание и формирование здорового образа жизни, способствующего сохранению физического и нравственного здоровья человека;</w:t>
      </w:r>
    </w:p>
    <w:p w:rsidR="009C0500" w:rsidRPr="00ED138A" w:rsidRDefault="009C0500" w:rsidP="009C0500">
      <w:pPr>
        <w:pStyle w:val="a9"/>
        <w:numPr>
          <w:ilvl w:val="0"/>
          <w:numId w:val="3"/>
        </w:numPr>
        <w:rPr>
          <w:sz w:val="28"/>
          <w:szCs w:val="28"/>
        </w:rPr>
      </w:pPr>
      <w:r w:rsidRPr="00ED138A">
        <w:rPr>
          <w:sz w:val="28"/>
          <w:szCs w:val="28"/>
        </w:rPr>
        <w:t>формирование экологической грамотности людей, знающих биологические закономерности, связи между живыми организмами, их эволюцию, причины видового разнообразия;</w:t>
      </w:r>
    </w:p>
    <w:p w:rsidR="009C0500" w:rsidRPr="00CC307A" w:rsidRDefault="009C0500" w:rsidP="009C0500">
      <w:pPr>
        <w:pStyle w:val="a9"/>
        <w:numPr>
          <w:ilvl w:val="0"/>
          <w:numId w:val="3"/>
        </w:numPr>
        <w:rPr>
          <w:sz w:val="28"/>
          <w:szCs w:val="28"/>
        </w:rPr>
      </w:pPr>
      <w:r w:rsidRPr="00ED138A">
        <w:rPr>
          <w:sz w:val="28"/>
          <w:szCs w:val="28"/>
        </w:rPr>
        <w:t>установление гармоничных отношений с природой, обществом, самим собой, со всем живым как главной ценностью на Земле.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 xml:space="preserve">На современном этапе развития школьного образования проблема активности познавательной деятельности учащихся приобретает особо </w:t>
      </w:r>
      <w:proofErr w:type="gramStart"/>
      <w:r w:rsidRPr="00ED138A">
        <w:rPr>
          <w:sz w:val="28"/>
          <w:szCs w:val="28"/>
        </w:rPr>
        <w:t>важное значение</w:t>
      </w:r>
      <w:proofErr w:type="gramEnd"/>
      <w:r w:rsidRPr="00ED138A">
        <w:rPr>
          <w:sz w:val="28"/>
          <w:szCs w:val="28"/>
        </w:rPr>
        <w:t xml:space="preserve"> в связи с высокими темпами развития и совершенствования науки и техники, потребностью общества в людях образованных, способных быстро ориентироваться в обстановке, мыслить самостоятельно и свободных от стереотипов.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    Ключевой проблемой повышения эффективности и качества учебного процесса является активизация учебной деятельности учащихся. Каким же образом активизировать учащихся на уроке? Обучение не должно сводиться к механической "передаче” знаний, так как обучение является двусторонним процессом, в котором тесно взаимодействуют педагог и ученик: преподавание и учение. 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lastRenderedPageBreak/>
        <w:t>   Я в своей практике использую различные приёмы активизации познавательной деятельности. 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 На уроках я создаю ситуации, в которых учащиеся сами: 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Отстаивают своё мнение;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Принимают участие в дискуссиях и обсуждениях;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Задают вопросы друг другу и учителю;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Анализируют ответы друг друга;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Оценивают ответы (самопроверка, взаимопроверка);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Консультируют по отдельным вопросам своих одноклассников;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 xml:space="preserve">• Самостоятельно выбирают </w:t>
      </w:r>
      <w:proofErr w:type="spellStart"/>
      <w:r w:rsidRPr="00ED138A">
        <w:rPr>
          <w:sz w:val="28"/>
          <w:szCs w:val="28"/>
        </w:rPr>
        <w:t>разноуровневые</w:t>
      </w:r>
      <w:proofErr w:type="spellEnd"/>
      <w:r w:rsidRPr="00ED138A">
        <w:rPr>
          <w:sz w:val="28"/>
          <w:szCs w:val="28"/>
        </w:rPr>
        <w:t xml:space="preserve"> задания;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• Находят несколько вариантов решения проблемы;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В своей работе я использую различные приёмы активизации познавательной деятельности, например: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b/>
          <w:bCs/>
          <w:sz w:val="28"/>
          <w:szCs w:val="28"/>
        </w:rPr>
        <w:t>1. Метод проблемного обучения.</w:t>
      </w:r>
      <w:r w:rsidRPr="00ED138A">
        <w:rPr>
          <w:sz w:val="28"/>
          <w:szCs w:val="28"/>
        </w:rPr>
        <w:t xml:space="preserve"> На уроках создаю проблемные ситуации, которые направляют деятельность учеников на максимальное овладение изучаемым материалом и повышают мотивацию.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b/>
          <w:bCs/>
          <w:sz w:val="28"/>
          <w:szCs w:val="28"/>
        </w:rPr>
        <w:t xml:space="preserve">2. Метод алгоритмизированного обучения. </w:t>
      </w:r>
      <w:r w:rsidRPr="00ED138A">
        <w:rPr>
          <w:sz w:val="28"/>
          <w:szCs w:val="28"/>
        </w:rPr>
        <w:t>Ребята самостоятельно составляют алгоритм решения проблемы.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b/>
          <w:bCs/>
          <w:sz w:val="28"/>
          <w:szCs w:val="28"/>
        </w:rPr>
        <w:t>3. Метод эвристического обучения,</w:t>
      </w:r>
      <w:r w:rsidRPr="00ED138A">
        <w:rPr>
          <w:sz w:val="28"/>
          <w:szCs w:val="28"/>
        </w:rPr>
        <w:t xml:space="preserve"> основной целью которого является поиск и сопровождение способов и правил, по которым ученики приходят к открытию определённых законов. (Задаю сложные вопросы, а потом с помощью наводящих вопросов получаем ответ).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b/>
          <w:bCs/>
          <w:sz w:val="28"/>
          <w:szCs w:val="28"/>
        </w:rPr>
        <w:t>4. Метод исследовательского обучения.</w:t>
      </w:r>
      <w:r w:rsidRPr="00ED138A">
        <w:rPr>
          <w:sz w:val="28"/>
          <w:szCs w:val="28"/>
        </w:rPr>
        <w:t xml:space="preserve"> Этот метод рассматривает правила правдоподобных истинных результатов, последующую их проверку, отыскание границ их применения. Ребята выдвигают гипотезу и на основе проведенных наблюдений, анализа, решения познавательных задач, формируют вывод.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b/>
          <w:bCs/>
          <w:sz w:val="28"/>
          <w:szCs w:val="28"/>
        </w:rPr>
        <w:t xml:space="preserve">Активными методами обучения </w:t>
      </w:r>
      <w:r w:rsidRPr="00ED138A">
        <w:rPr>
          <w:sz w:val="28"/>
          <w:szCs w:val="28"/>
        </w:rPr>
        <w:t>я считаю те, которые максимально повышают уровень познавательной активности школьников. Это: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1. Метод дискуссий – добиваюсь, чтобы учащиеся могли свободно, не боясь высказывать своё мнение и внимательно слушать мнение других.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D138A">
        <w:rPr>
          <w:sz w:val="28"/>
          <w:szCs w:val="28"/>
        </w:rPr>
        <w:t>. Метод самостоятельной работы с дидактическим материалом. Это и карточки для закрепления и карточки с целью контроля, практические задания, тестовые задания и др.</w:t>
      </w:r>
    </w:p>
    <w:p w:rsidR="009C0500" w:rsidRDefault="009C0500" w:rsidP="009C0500">
      <w:pPr>
        <w:pStyle w:val="a9"/>
        <w:rPr>
          <w:sz w:val="28"/>
          <w:szCs w:val="28"/>
        </w:rPr>
      </w:pPr>
    </w:p>
    <w:p w:rsidR="009C0500" w:rsidRPr="00ED138A" w:rsidRDefault="009C0500" w:rsidP="009C0500">
      <w:pPr>
        <w:pStyle w:val="a9"/>
        <w:rPr>
          <w:sz w:val="28"/>
          <w:szCs w:val="28"/>
        </w:rPr>
      </w:pPr>
      <w:r>
        <w:rPr>
          <w:sz w:val="28"/>
          <w:szCs w:val="28"/>
        </w:rPr>
        <w:t>3</w:t>
      </w:r>
      <w:r w:rsidRPr="00ED138A">
        <w:rPr>
          <w:sz w:val="28"/>
          <w:szCs w:val="28"/>
        </w:rPr>
        <w:t>. Метод проблемного изложения. При создании на уроках проблемных ситуаций, ребята выдвигают свои гипотезы решения данной проблемы. Этот метод способствует формированию приёмов умственной деятельности, анализа, синтеза, сравнения, обобщения, установления причинно-следственных связей.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   Процесс организации обучения школьников с использованием ИКТ позволяет: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- сделать этот процесс интересным, увлекательным и ярким, разнообразным по форме за счет использования ИКТ;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- эффективно решать проблему наглядности обучения, расширить возможности визуализации учебного материала, делая его более понятным и доступным для учащихся;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 xml:space="preserve">- индивидуализировать процесс обучения за счет наличия </w:t>
      </w:r>
      <w:proofErr w:type="spellStart"/>
      <w:r w:rsidRPr="00ED138A">
        <w:rPr>
          <w:sz w:val="28"/>
          <w:szCs w:val="28"/>
        </w:rPr>
        <w:t>разноуровневых</w:t>
      </w:r>
      <w:proofErr w:type="spellEnd"/>
      <w:r w:rsidRPr="00ED138A">
        <w:rPr>
          <w:sz w:val="28"/>
          <w:szCs w:val="28"/>
        </w:rPr>
        <w:t xml:space="preserve"> заданий, что  вызывает у учащихся положительные эмоции и формирует положительные учебные мотивы;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- самостоятельно анализировать и исправлять допущенные ошибки у себя, корректировать свою деятельность, в результате чего совершенствуются навыки самоконтроля; 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- осуществлять самостоятельную учебно-исследовательскую деятельность  (проекты, разработка презентаций, даже несколько слайдов к конкретному уроку), развивая тем самым у школьников творческую активность.  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>   Итак, использование информационных технологий повышает мотивацию обучения.     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 xml:space="preserve">   Активизация деятельности учащихся на уроке - одно из основных направления совершенствования </w:t>
      </w:r>
      <w:proofErr w:type="spellStart"/>
      <w:r w:rsidRPr="00ED138A">
        <w:rPr>
          <w:sz w:val="28"/>
          <w:szCs w:val="28"/>
        </w:rPr>
        <w:t>учебно</w:t>
      </w:r>
      <w:proofErr w:type="spellEnd"/>
      <w:r w:rsidRPr="00ED138A">
        <w:rPr>
          <w:sz w:val="28"/>
          <w:szCs w:val="28"/>
        </w:rPr>
        <w:t xml:space="preserve"> - воспитательного процесса в школе. Сознательное и прочное усвоение знаний учащихся проходит в процессе их активной умственной деятельности. Поэтому работу следует организовывать на каждом уроке так, чтобы учебный материал становился предметом активных действий </w:t>
      </w:r>
      <w:proofErr w:type="spellStart"/>
      <w:r w:rsidRPr="00ED138A">
        <w:rPr>
          <w:sz w:val="28"/>
          <w:szCs w:val="28"/>
        </w:rPr>
        <w:t>учеников</w:t>
      </w:r>
      <w:proofErr w:type="gramStart"/>
      <w:r w:rsidRPr="00ED138A">
        <w:rPr>
          <w:sz w:val="28"/>
          <w:szCs w:val="28"/>
        </w:rPr>
        <w:t>.Н</w:t>
      </w:r>
      <w:proofErr w:type="gramEnd"/>
      <w:r w:rsidRPr="00ED138A">
        <w:rPr>
          <w:sz w:val="28"/>
          <w:szCs w:val="28"/>
        </w:rPr>
        <w:t>а</w:t>
      </w:r>
      <w:proofErr w:type="spellEnd"/>
      <w:r w:rsidRPr="00ED138A">
        <w:rPr>
          <w:sz w:val="28"/>
          <w:szCs w:val="28"/>
        </w:rPr>
        <w:t xml:space="preserve"> уроках должное внимание уделяю видам опроса, так как он является важным воспитательным моментом урока, стимулирующий работу ученика, развивая устную монологическую речь ученика.</w:t>
      </w:r>
    </w:p>
    <w:p w:rsidR="009C0500" w:rsidRDefault="009C0500" w:rsidP="009C0500">
      <w:pPr>
        <w:pStyle w:val="a9"/>
        <w:rPr>
          <w:sz w:val="28"/>
          <w:szCs w:val="28"/>
        </w:rPr>
      </w:pPr>
      <w:r w:rsidRPr="00ED138A">
        <w:rPr>
          <w:sz w:val="28"/>
          <w:szCs w:val="28"/>
        </w:rPr>
        <w:t xml:space="preserve">Как учитель биологии провожу внеклассную работу. Ежегодно на своих неделях провожу различные познавательные игры, конкурсы, викторины. Традиционно во время биологической недели проводится школьный тур олимпиады. </w:t>
      </w:r>
    </w:p>
    <w:p w:rsidR="009C0500" w:rsidRPr="00ED138A" w:rsidRDefault="009C0500" w:rsidP="009C0500">
      <w:pPr>
        <w:pStyle w:val="a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6"/>
        <w:gridCol w:w="3105"/>
        <w:gridCol w:w="3160"/>
        <w:gridCol w:w="2364"/>
      </w:tblGrid>
      <w:tr w:rsidR="009C0500" w:rsidRPr="00ED138A" w:rsidTr="000D73A7">
        <w:tc>
          <w:tcPr>
            <w:tcW w:w="9355" w:type="dxa"/>
            <w:gridSpan w:val="4"/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ED138A">
              <w:rPr>
                <w:color w:val="000000"/>
                <w:sz w:val="28"/>
                <w:szCs w:val="28"/>
              </w:rPr>
              <w:t> </w:t>
            </w:r>
            <w:r w:rsidRPr="00ED138A">
              <w:rPr>
                <w:b/>
                <w:bCs/>
                <w:sz w:val="28"/>
                <w:szCs w:val="28"/>
              </w:rPr>
              <w:t>Индивидуальный план реализации темы самообразования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</w:rPr>
              <w:t>Срок реализации темы – 5 лет (201</w:t>
            </w:r>
            <w:r>
              <w:rPr>
                <w:b/>
                <w:bCs/>
                <w:sz w:val="28"/>
                <w:szCs w:val="28"/>
              </w:rPr>
              <w:t>7– 2022</w:t>
            </w:r>
            <w:r w:rsidRPr="00ED138A">
              <w:rPr>
                <w:b/>
                <w:bCs/>
                <w:sz w:val="28"/>
                <w:szCs w:val="28"/>
              </w:rPr>
              <w:t>г.г.)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 </w:t>
            </w:r>
          </w:p>
        </w:tc>
      </w:tr>
      <w:tr w:rsidR="009C0500" w:rsidRPr="00ED138A" w:rsidTr="000D73A7">
        <w:tc>
          <w:tcPr>
            <w:tcW w:w="7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31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Содержание</w:t>
            </w:r>
            <w:proofErr w:type="spellEnd"/>
          </w:p>
        </w:tc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Результат</w:t>
            </w:r>
            <w:proofErr w:type="spellEnd"/>
            <w:r w:rsidRPr="00ED138A">
              <w:rPr>
                <w:b/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вид</w:t>
            </w:r>
            <w:proofErr w:type="spellEnd"/>
            <w:r w:rsidRPr="00ED138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23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Срок</w:t>
            </w:r>
            <w:proofErr w:type="spellEnd"/>
            <w:r w:rsidRPr="00ED138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выполнения</w:t>
            </w:r>
            <w:proofErr w:type="spellEnd"/>
          </w:p>
        </w:tc>
      </w:tr>
      <w:tr w:rsidR="009C0500" w:rsidRPr="00ED138A" w:rsidTr="000D73A7">
        <w:tc>
          <w:tcPr>
            <w:tcW w:w="7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310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23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 </w:t>
            </w:r>
          </w:p>
        </w:tc>
      </w:tr>
      <w:tr w:rsidR="009C0500" w:rsidRPr="00ED138A" w:rsidTr="000D73A7">
        <w:tc>
          <w:tcPr>
            <w:tcW w:w="7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  <w:lang w:val="en-US"/>
              </w:rPr>
              <w:t> 1.</w:t>
            </w:r>
          </w:p>
        </w:tc>
        <w:tc>
          <w:tcPr>
            <w:tcW w:w="310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</w:rPr>
              <w:t>Повышение психолого-педагогического и методического уровня: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- изучение темы: «Психологический комфорт на уроках»</w:t>
            </w:r>
          </w:p>
          <w:p w:rsidR="009C0500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 xml:space="preserve">изучение методической литературы 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ED138A">
              <w:rPr>
                <w:sz w:val="28"/>
                <w:szCs w:val="28"/>
                <w:lang w:val="en-US"/>
              </w:rPr>
              <w:t>течени</w:t>
            </w:r>
            <w:proofErr w:type="spellEnd"/>
            <w:r w:rsidRPr="00ED138A">
              <w:rPr>
                <w:sz w:val="28"/>
                <w:szCs w:val="28"/>
              </w:rPr>
              <w:t>е</w:t>
            </w:r>
            <w:r w:rsidRPr="00ED13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8A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9C0500" w:rsidRPr="00ED138A" w:rsidTr="000D73A7">
        <w:tc>
          <w:tcPr>
            <w:tcW w:w="7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310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</w:rPr>
              <w:t>Научно-практическая работа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- участие в научно-практических конференциях;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 xml:space="preserve">-участие в конкурсах, </w:t>
            </w:r>
            <w:proofErr w:type="spellStart"/>
            <w:r w:rsidRPr="00ED138A">
              <w:rPr>
                <w:sz w:val="28"/>
                <w:szCs w:val="28"/>
              </w:rPr>
              <w:t>олипиадах</w:t>
            </w:r>
            <w:proofErr w:type="spellEnd"/>
            <w:r w:rsidRPr="00ED138A">
              <w:rPr>
                <w:sz w:val="28"/>
                <w:szCs w:val="28"/>
              </w:rPr>
              <w:t>;</w:t>
            </w:r>
          </w:p>
          <w:p w:rsidR="009C0500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- участие в семинарах и мастер-классах для коллег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Участие в предметной неделе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 xml:space="preserve">Возрождение школьного эколого-географического кружка «Юный эколог»  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Призовые места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ED138A">
              <w:rPr>
                <w:sz w:val="28"/>
                <w:szCs w:val="28"/>
                <w:lang w:val="en-US"/>
              </w:rPr>
              <w:t>течени</w:t>
            </w:r>
            <w:proofErr w:type="spellEnd"/>
            <w:r w:rsidRPr="00ED138A">
              <w:rPr>
                <w:sz w:val="28"/>
                <w:szCs w:val="28"/>
              </w:rPr>
              <w:t>е</w:t>
            </w:r>
            <w:r w:rsidRPr="00ED13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8A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  <w:tr w:rsidR="009C0500" w:rsidRPr="00ED138A" w:rsidTr="000D73A7">
        <w:tc>
          <w:tcPr>
            <w:tcW w:w="7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310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</w:rPr>
              <w:t>Текущая методическая работа: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 xml:space="preserve">- разработка электронных тестов, </w:t>
            </w:r>
            <w:r w:rsidRPr="00ED138A">
              <w:rPr>
                <w:sz w:val="28"/>
                <w:szCs w:val="28"/>
              </w:rPr>
              <w:lastRenderedPageBreak/>
              <w:t>карточек по предмету</w:t>
            </w:r>
          </w:p>
          <w:p w:rsidR="009C0500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- периодический анализ качества усвоения изученного материала по изучаемым разделам курсов географии, химии и биологии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lastRenderedPageBreak/>
              <w:t>Электронные тесты, карточки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 xml:space="preserve">Анализ контрольных работ за полугодие, </w:t>
            </w:r>
            <w:r w:rsidRPr="00ED138A">
              <w:rPr>
                <w:sz w:val="28"/>
                <w:szCs w:val="28"/>
              </w:rPr>
              <w:lastRenderedPageBreak/>
              <w:t>мониторинг</w:t>
            </w:r>
          </w:p>
        </w:tc>
        <w:tc>
          <w:tcPr>
            <w:tcW w:w="23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lastRenderedPageBreak/>
              <w:t>В течение года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В конце п</w:t>
            </w:r>
            <w:bookmarkStart w:id="0" w:name="_GoBack"/>
            <w:bookmarkEnd w:id="0"/>
            <w:r w:rsidRPr="00ED138A">
              <w:rPr>
                <w:sz w:val="28"/>
                <w:szCs w:val="28"/>
              </w:rPr>
              <w:t>олугодия</w:t>
            </w:r>
          </w:p>
        </w:tc>
      </w:tr>
      <w:tr w:rsidR="009C0500" w:rsidRPr="00ED138A" w:rsidTr="000D73A7">
        <w:tc>
          <w:tcPr>
            <w:tcW w:w="7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val="en-US"/>
              </w:rPr>
            </w:pPr>
            <w:r w:rsidRPr="00ED138A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10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Работа по кабинету</w:t>
            </w: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 xml:space="preserve">Содержание кабинета в соответствии с требованиями </w:t>
            </w:r>
            <w:proofErr w:type="spellStart"/>
            <w:r w:rsidRPr="00ED138A">
              <w:rPr>
                <w:sz w:val="28"/>
                <w:szCs w:val="28"/>
              </w:rPr>
              <w:t>СанПиНа</w:t>
            </w:r>
            <w:proofErr w:type="spellEnd"/>
            <w:r w:rsidRPr="00ED138A">
              <w:rPr>
                <w:sz w:val="28"/>
                <w:szCs w:val="28"/>
              </w:rPr>
              <w:t>. Эстетическое оформление кабинета. Пополнение раздаточного дидактического материала, наглядных пособий, электронных программ</w:t>
            </w:r>
          </w:p>
        </w:tc>
        <w:tc>
          <w:tcPr>
            <w:tcW w:w="23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</w:rPr>
              <w:t>В течение года</w:t>
            </w:r>
          </w:p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C0500" w:rsidRPr="00ED138A" w:rsidTr="000D73A7">
        <w:tc>
          <w:tcPr>
            <w:tcW w:w="72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138A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0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Анализ</w:t>
            </w:r>
            <w:proofErr w:type="spellEnd"/>
            <w:r w:rsidRPr="00ED138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8A">
              <w:rPr>
                <w:b/>
                <w:bCs/>
                <w:sz w:val="28"/>
                <w:szCs w:val="28"/>
                <w:lang w:val="en-US"/>
              </w:rPr>
              <w:t>самостоятельной</w:t>
            </w:r>
            <w:proofErr w:type="spellEnd"/>
          </w:p>
          <w:p w:rsidR="009C0500" w:rsidRDefault="009C0500" w:rsidP="000D73A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D138A">
              <w:rPr>
                <w:b/>
                <w:sz w:val="28"/>
                <w:szCs w:val="28"/>
                <w:lang w:val="en-US"/>
              </w:rPr>
              <w:t>методической</w:t>
            </w:r>
            <w:proofErr w:type="spellEnd"/>
            <w:proofErr w:type="gramEnd"/>
            <w:r w:rsidRPr="00ED138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38A">
              <w:rPr>
                <w:b/>
                <w:sz w:val="28"/>
                <w:szCs w:val="28"/>
                <w:lang w:val="en-US"/>
              </w:rPr>
              <w:t>работы</w:t>
            </w:r>
            <w:proofErr w:type="spellEnd"/>
            <w:r w:rsidRPr="00ED138A">
              <w:rPr>
                <w:b/>
                <w:sz w:val="28"/>
                <w:szCs w:val="28"/>
                <w:lang w:val="en-US"/>
              </w:rPr>
              <w:t>.</w:t>
            </w:r>
          </w:p>
          <w:p w:rsidR="009C0500" w:rsidRPr="00D35471" w:rsidRDefault="009C0500" w:rsidP="000D73A7">
            <w:pPr>
              <w:rPr>
                <w:b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D138A">
              <w:rPr>
                <w:sz w:val="28"/>
                <w:szCs w:val="28"/>
                <w:lang w:val="en-US"/>
              </w:rPr>
              <w:t>самоанализ</w:t>
            </w:r>
            <w:proofErr w:type="spellEnd"/>
          </w:p>
        </w:tc>
        <w:tc>
          <w:tcPr>
            <w:tcW w:w="23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D138A">
              <w:rPr>
                <w:sz w:val="28"/>
                <w:szCs w:val="28"/>
                <w:lang w:val="en-US"/>
              </w:rPr>
              <w:t>май</w:t>
            </w:r>
            <w:proofErr w:type="spellEnd"/>
          </w:p>
        </w:tc>
      </w:tr>
      <w:tr w:rsidR="009C0500" w:rsidRPr="00ED138A" w:rsidTr="000D73A7">
        <w:tc>
          <w:tcPr>
            <w:tcW w:w="9355" w:type="dxa"/>
            <w:gridSpan w:val="4"/>
            <w:vAlign w:val="center"/>
            <w:hideMark/>
          </w:tcPr>
          <w:p w:rsidR="009C0500" w:rsidRPr="00ED138A" w:rsidRDefault="009C0500" w:rsidP="000D73A7">
            <w:pPr>
              <w:spacing w:before="100" w:beforeAutospacing="1" w:after="283"/>
              <w:rPr>
                <w:sz w:val="28"/>
                <w:szCs w:val="28"/>
              </w:rPr>
            </w:pPr>
            <w:r w:rsidRPr="00ED138A">
              <w:rPr>
                <w:sz w:val="28"/>
                <w:szCs w:val="28"/>
                <w:lang w:val="en-US"/>
              </w:rPr>
              <w:t> </w:t>
            </w:r>
          </w:p>
        </w:tc>
      </w:tr>
    </w:tbl>
    <w:p w:rsidR="009C0500" w:rsidRPr="00ED138A" w:rsidRDefault="009C0500" w:rsidP="009C0500">
      <w:pPr>
        <w:rPr>
          <w:sz w:val="28"/>
          <w:szCs w:val="28"/>
        </w:rPr>
      </w:pPr>
    </w:p>
    <w:p w:rsidR="009C0500" w:rsidRPr="00ED138A" w:rsidRDefault="009C0500" w:rsidP="009C0500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9C0500" w:rsidRPr="00ED138A" w:rsidRDefault="009C0500" w:rsidP="009C0500">
      <w:pPr>
        <w:spacing w:before="100" w:beforeAutospacing="1" w:after="100" w:afterAutospacing="1"/>
        <w:rPr>
          <w:sz w:val="28"/>
          <w:szCs w:val="28"/>
        </w:rPr>
      </w:pPr>
    </w:p>
    <w:p w:rsidR="0062657D" w:rsidRPr="00CD7618" w:rsidRDefault="0062657D" w:rsidP="00626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 w:rsidP="0062657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57D" w:rsidRDefault="0062657D"/>
    <w:p w:rsidR="009C0500" w:rsidRDefault="009C0500"/>
    <w:p w:rsidR="009C0500" w:rsidRDefault="009C0500"/>
    <w:p w:rsidR="009C0500" w:rsidRDefault="009C0500"/>
    <w:p w:rsidR="009C0500" w:rsidRDefault="009C0500"/>
    <w:p w:rsidR="009C0500" w:rsidRDefault="009C0500"/>
    <w:p w:rsidR="009C0500" w:rsidRDefault="009C0500"/>
    <w:p w:rsidR="009C0500" w:rsidRDefault="009C0500"/>
    <w:p w:rsidR="009C0500" w:rsidRDefault="009C0500"/>
    <w:p w:rsidR="009C0500" w:rsidRDefault="009C0500"/>
    <w:sectPr w:rsidR="009C0500" w:rsidSect="00BD3FDA">
      <w:footerReference w:type="default" r:id="rId7"/>
      <w:pgSz w:w="11906" w:h="16838"/>
      <w:pgMar w:top="851" w:right="1133" w:bottom="1134" w:left="851" w:header="708" w:footer="708" w:gutter="0"/>
      <w:pgBorders w:offsetFrom="page">
        <w:top w:val="twistedLines2" w:sz="20" w:space="24" w:color="auto"/>
        <w:left w:val="twistedLines2" w:sz="20" w:space="24" w:color="auto"/>
        <w:bottom w:val="twistedLines2" w:sz="20" w:space="24" w:color="auto"/>
        <w:right w:val="twistedLines2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CA" w:rsidRDefault="00441BCA" w:rsidP="0062657D">
      <w:pPr>
        <w:spacing w:after="0" w:line="240" w:lineRule="auto"/>
      </w:pPr>
      <w:r>
        <w:separator/>
      </w:r>
    </w:p>
  </w:endnote>
  <w:endnote w:type="continuationSeparator" w:id="0">
    <w:p w:rsidR="00441BCA" w:rsidRDefault="00441BCA" w:rsidP="0062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213"/>
    </w:sdtPr>
    <w:sdtEndPr/>
    <w:sdtContent>
      <w:p w:rsidR="00704C70" w:rsidRDefault="00441BC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500">
          <w:rPr>
            <w:noProof/>
          </w:rPr>
          <w:t>9</w:t>
        </w:r>
        <w:r>
          <w:fldChar w:fldCharType="end"/>
        </w:r>
      </w:p>
    </w:sdtContent>
  </w:sdt>
  <w:p w:rsidR="00704C70" w:rsidRDefault="00441B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CA" w:rsidRDefault="00441BCA" w:rsidP="0062657D">
      <w:pPr>
        <w:spacing w:after="0" w:line="240" w:lineRule="auto"/>
      </w:pPr>
      <w:r>
        <w:separator/>
      </w:r>
    </w:p>
  </w:footnote>
  <w:footnote w:type="continuationSeparator" w:id="0">
    <w:p w:rsidR="00441BCA" w:rsidRDefault="00441BCA" w:rsidP="00626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B60"/>
    <w:multiLevelType w:val="multilevel"/>
    <w:tmpl w:val="A808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F4948"/>
    <w:multiLevelType w:val="hybridMultilevel"/>
    <w:tmpl w:val="02D605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4589E"/>
    <w:multiLevelType w:val="hybridMultilevel"/>
    <w:tmpl w:val="4E8CD20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57D"/>
    <w:rsid w:val="00134203"/>
    <w:rsid w:val="00297A6D"/>
    <w:rsid w:val="00441BCA"/>
    <w:rsid w:val="0062657D"/>
    <w:rsid w:val="009C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6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2657D"/>
  </w:style>
  <w:style w:type="paragraph" w:styleId="a5">
    <w:name w:val="Balloon Text"/>
    <w:basedOn w:val="a"/>
    <w:link w:val="a6"/>
    <w:uiPriority w:val="99"/>
    <w:semiHidden/>
    <w:unhideWhenUsed/>
    <w:rsid w:val="0062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5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C050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C050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C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2647</Words>
  <Characters>15088</Characters>
  <Application>Microsoft Office Word</Application>
  <DocSecurity>0</DocSecurity>
  <Lines>125</Lines>
  <Paragraphs>35</Paragraphs>
  <ScaleCrop>false</ScaleCrop>
  <Company>Microsoft</Company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2017-12-19T16:48:00Z</dcterms:created>
  <dcterms:modified xsi:type="dcterms:W3CDTF">2017-12-19T16:53:00Z</dcterms:modified>
</cp:coreProperties>
</file>